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1A99D" w14:textId="494F88E8" w:rsidR="00C0576E" w:rsidRDefault="00264ECE">
      <w:r>
        <w:rPr>
          <w:noProof/>
        </w:rPr>
        <w:drawing>
          <wp:inline distT="0" distB="0" distL="0" distR="0" wp14:anchorId="0B43FAE2" wp14:editId="249D72AC">
            <wp:extent cx="13383491" cy="8887474"/>
            <wp:effectExtent l="0" t="0" r="8890" b="8890"/>
            <wp:docPr id="143469248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692488" name="Picture 1" descr="A screenshot of a compu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405472" cy="8902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607BC" w14:textId="77777777" w:rsidR="00264ECE" w:rsidRPr="00264ECE" w:rsidRDefault="00264ECE" w:rsidP="00264EC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  <w:sz w:val="44"/>
          <w:szCs w:val="44"/>
        </w:rPr>
      </w:pPr>
      <w:r w:rsidRPr="00264ECE">
        <w:rPr>
          <w:rFonts w:cstheme="minorHAnsi"/>
          <w:b/>
          <w:bCs/>
          <w:kern w:val="0"/>
          <w:sz w:val="44"/>
          <w:szCs w:val="44"/>
        </w:rPr>
        <w:lastRenderedPageBreak/>
        <w:t>2500P-ACP1 I/O Definition</w:t>
      </w:r>
    </w:p>
    <w:p w14:paraId="7823A2BE" w14:textId="77777777" w:rsidR="00264ECE" w:rsidRPr="00264ECE" w:rsidRDefault="00264ECE" w:rsidP="00264ECE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kern w:val="0"/>
          <w:sz w:val="44"/>
          <w:szCs w:val="44"/>
        </w:rPr>
      </w:pPr>
      <w:r w:rsidRPr="00264ECE">
        <w:rPr>
          <w:rFonts w:cstheme="minorHAnsi"/>
          <w:kern w:val="0"/>
          <w:sz w:val="44"/>
          <w:szCs w:val="44"/>
        </w:rPr>
        <w:t xml:space="preserve">The ACP1 I/O definition is specified by selecting one the following I/O configurations in the </w:t>
      </w:r>
      <w:r w:rsidRPr="00264ECE">
        <w:rPr>
          <w:rFonts w:cstheme="minorHAnsi"/>
          <w:i/>
          <w:iCs/>
          <w:kern w:val="0"/>
          <w:sz w:val="44"/>
          <w:szCs w:val="44"/>
        </w:rPr>
        <w:t>CTI 2500P-ACP1 I/O</w:t>
      </w:r>
    </w:p>
    <w:p w14:paraId="0A273F26" w14:textId="77777777" w:rsidR="00264ECE" w:rsidRPr="00264ECE" w:rsidRDefault="00264ECE" w:rsidP="00264ECE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44"/>
          <w:szCs w:val="44"/>
        </w:rPr>
      </w:pPr>
      <w:r w:rsidRPr="00264ECE">
        <w:rPr>
          <w:rFonts w:cstheme="minorHAnsi"/>
          <w:i/>
          <w:iCs/>
          <w:kern w:val="0"/>
          <w:sz w:val="44"/>
          <w:szCs w:val="44"/>
        </w:rPr>
        <w:t xml:space="preserve">Configuration Wizard </w:t>
      </w:r>
      <w:r w:rsidRPr="00264ECE">
        <w:rPr>
          <w:rFonts w:cstheme="minorHAnsi"/>
          <w:kern w:val="0"/>
          <w:sz w:val="44"/>
          <w:szCs w:val="44"/>
        </w:rPr>
        <w:t xml:space="preserve">provided in </w:t>
      </w:r>
      <w:r w:rsidRPr="00264ECE">
        <w:rPr>
          <w:rFonts w:cstheme="minorHAnsi"/>
          <w:b/>
          <w:bCs/>
          <w:i/>
          <w:iCs/>
          <w:kern w:val="0"/>
          <w:sz w:val="44"/>
          <w:szCs w:val="44"/>
        </w:rPr>
        <w:t>CTI Workbench</w:t>
      </w:r>
      <w:r w:rsidRPr="00264ECE">
        <w:rPr>
          <w:rFonts w:cstheme="minorHAnsi"/>
          <w:kern w:val="0"/>
          <w:sz w:val="44"/>
          <w:szCs w:val="44"/>
        </w:rPr>
        <w:t>:</w:t>
      </w:r>
    </w:p>
    <w:p w14:paraId="1EAE4C7B" w14:textId="1551F62B" w:rsidR="00264ECE" w:rsidRPr="00264ECE" w:rsidRDefault="00264ECE" w:rsidP="00264ECE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44"/>
          <w:szCs w:val="44"/>
        </w:rPr>
      </w:pPr>
      <w:r>
        <w:rPr>
          <w:rFonts w:cstheme="minorHAnsi"/>
          <w:kern w:val="0"/>
          <w:sz w:val="44"/>
          <w:szCs w:val="44"/>
        </w:rPr>
        <w:tab/>
      </w:r>
      <w:r w:rsidRPr="00264ECE">
        <w:rPr>
          <w:rFonts w:cstheme="minorHAnsi"/>
          <w:kern w:val="0"/>
          <w:sz w:val="44"/>
          <w:szCs w:val="44"/>
        </w:rPr>
        <w:t>• Discrete I/O: 32 inputs / 32 outputs (32X/32Y)</w:t>
      </w:r>
    </w:p>
    <w:p w14:paraId="1FB8BC97" w14:textId="045D838D" w:rsidR="00264ECE" w:rsidRPr="00264ECE" w:rsidRDefault="00264ECE" w:rsidP="00264ECE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44"/>
          <w:szCs w:val="44"/>
        </w:rPr>
      </w:pPr>
      <w:r>
        <w:rPr>
          <w:rFonts w:cstheme="minorHAnsi"/>
          <w:kern w:val="0"/>
          <w:sz w:val="44"/>
          <w:szCs w:val="44"/>
        </w:rPr>
        <w:tab/>
      </w:r>
      <w:r w:rsidRPr="00264ECE">
        <w:rPr>
          <w:rFonts w:cstheme="minorHAnsi"/>
          <w:kern w:val="0"/>
          <w:sz w:val="44"/>
          <w:szCs w:val="44"/>
        </w:rPr>
        <w:t>• Word I/O: 32 inputs / 32 outputs (32WX/32WY)</w:t>
      </w:r>
    </w:p>
    <w:p w14:paraId="3D0BF673" w14:textId="128C66FB" w:rsidR="00264ECE" w:rsidRDefault="00264ECE" w:rsidP="00264ECE">
      <w:pPr>
        <w:rPr>
          <w:rFonts w:cstheme="minorHAnsi"/>
          <w:kern w:val="0"/>
          <w:sz w:val="44"/>
          <w:szCs w:val="44"/>
        </w:rPr>
      </w:pPr>
      <w:r>
        <w:rPr>
          <w:rFonts w:cstheme="minorHAnsi"/>
          <w:kern w:val="0"/>
          <w:sz w:val="44"/>
          <w:szCs w:val="44"/>
        </w:rPr>
        <w:tab/>
      </w:r>
      <w:r w:rsidRPr="00264ECE">
        <w:rPr>
          <w:rFonts w:cstheme="minorHAnsi"/>
          <w:kern w:val="0"/>
          <w:sz w:val="44"/>
          <w:szCs w:val="44"/>
        </w:rPr>
        <w:t xml:space="preserve">• Mixed I/O: 32 discrete inputs/outputs and </w:t>
      </w:r>
      <w:proofErr w:type="gramStart"/>
      <w:r w:rsidRPr="00264ECE">
        <w:rPr>
          <w:rFonts w:cstheme="minorHAnsi"/>
          <w:kern w:val="0"/>
          <w:sz w:val="44"/>
          <w:szCs w:val="44"/>
        </w:rPr>
        <w:t>32 word</w:t>
      </w:r>
      <w:proofErr w:type="gramEnd"/>
      <w:r w:rsidRPr="00264ECE">
        <w:rPr>
          <w:rFonts w:cstheme="minorHAnsi"/>
          <w:kern w:val="0"/>
          <w:sz w:val="44"/>
          <w:szCs w:val="44"/>
        </w:rPr>
        <w:t xml:space="preserve"> inputs/outputs (32X/32Y/32WX/32WY)</w:t>
      </w:r>
    </w:p>
    <w:p w14:paraId="47D1344E" w14:textId="77777777" w:rsidR="00264ECE" w:rsidRDefault="00264ECE" w:rsidP="00264ECE">
      <w:pPr>
        <w:rPr>
          <w:rFonts w:cstheme="minorHAnsi"/>
          <w:kern w:val="0"/>
          <w:sz w:val="44"/>
          <w:szCs w:val="44"/>
        </w:rPr>
      </w:pPr>
    </w:p>
    <w:p w14:paraId="3A984097" w14:textId="05A8781B" w:rsidR="00264ECE" w:rsidRDefault="00264ECE" w:rsidP="00264ECE">
      <w:pPr>
        <w:rPr>
          <w:rFonts w:cstheme="minorHAnsi"/>
          <w:sz w:val="44"/>
          <w:szCs w:val="44"/>
        </w:rPr>
      </w:pPr>
      <w:r w:rsidRPr="00264ECE">
        <w:rPr>
          <w:rFonts w:cstheme="minorHAnsi"/>
          <w:noProof/>
          <w:sz w:val="44"/>
          <w:szCs w:val="44"/>
        </w:rPr>
        <w:drawing>
          <wp:inline distT="0" distB="0" distL="0" distR="0" wp14:anchorId="329DBA7A" wp14:editId="57D73634">
            <wp:extent cx="6697683" cy="6469769"/>
            <wp:effectExtent l="0" t="0" r="8255" b="7620"/>
            <wp:docPr id="636534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402" cy="647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96BCC" w14:textId="77777777" w:rsidR="00264ECE" w:rsidRPr="00264ECE" w:rsidRDefault="00264ECE" w:rsidP="00264ECE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44"/>
          <w:szCs w:val="44"/>
        </w:rPr>
      </w:pPr>
      <w:r w:rsidRPr="00264ECE">
        <w:rPr>
          <w:rFonts w:cstheme="minorHAnsi"/>
          <w:kern w:val="0"/>
          <w:sz w:val="44"/>
          <w:szCs w:val="44"/>
        </w:rPr>
        <w:lastRenderedPageBreak/>
        <w:t xml:space="preserve">The Mixed I/O interface requires special care when assigning an </w:t>
      </w:r>
      <w:r w:rsidRPr="00264ECE">
        <w:rPr>
          <w:rFonts w:cstheme="minorHAnsi"/>
          <w:i/>
          <w:iCs/>
          <w:kern w:val="0"/>
          <w:sz w:val="44"/>
          <w:szCs w:val="44"/>
        </w:rPr>
        <w:t xml:space="preserve">I/O Address </w:t>
      </w:r>
      <w:r w:rsidRPr="00264ECE">
        <w:rPr>
          <w:rFonts w:cstheme="minorHAnsi"/>
          <w:kern w:val="0"/>
          <w:sz w:val="44"/>
          <w:szCs w:val="44"/>
        </w:rPr>
        <w:t xml:space="preserve">because the Series 505® </w:t>
      </w:r>
      <w:proofErr w:type="gramStart"/>
      <w:r w:rsidRPr="00264ECE">
        <w:rPr>
          <w:rFonts w:cstheme="minorHAnsi"/>
          <w:kern w:val="0"/>
          <w:sz w:val="44"/>
          <w:szCs w:val="44"/>
        </w:rPr>
        <w:t>model</w:t>
      </w:r>
      <w:proofErr w:type="gramEnd"/>
    </w:p>
    <w:p w14:paraId="6F893F8F" w14:textId="77777777" w:rsidR="00264ECE" w:rsidRPr="00264ECE" w:rsidRDefault="00264ECE" w:rsidP="00264ECE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44"/>
          <w:szCs w:val="44"/>
        </w:rPr>
      </w:pPr>
      <w:r w:rsidRPr="00264ECE">
        <w:rPr>
          <w:rFonts w:cstheme="minorHAnsi"/>
          <w:kern w:val="0"/>
          <w:sz w:val="44"/>
          <w:szCs w:val="44"/>
        </w:rPr>
        <w:t xml:space="preserve">allows one “login” address for each module slot. Therefore, the </w:t>
      </w:r>
      <w:r w:rsidRPr="00264ECE">
        <w:rPr>
          <w:rFonts w:cstheme="minorHAnsi"/>
          <w:i/>
          <w:iCs/>
          <w:kern w:val="0"/>
          <w:sz w:val="44"/>
          <w:szCs w:val="44"/>
        </w:rPr>
        <w:t xml:space="preserve">I/O Address </w:t>
      </w:r>
      <w:r w:rsidRPr="00264ECE">
        <w:rPr>
          <w:rFonts w:cstheme="minorHAnsi"/>
          <w:kern w:val="0"/>
          <w:sz w:val="44"/>
          <w:szCs w:val="44"/>
        </w:rPr>
        <w:t xml:space="preserve">assigns the image </w:t>
      </w:r>
      <w:proofErr w:type="gramStart"/>
      <w:r w:rsidRPr="00264ECE">
        <w:rPr>
          <w:rFonts w:cstheme="minorHAnsi"/>
          <w:kern w:val="0"/>
          <w:sz w:val="44"/>
          <w:szCs w:val="44"/>
        </w:rPr>
        <w:t>register</w:t>
      </w:r>
      <w:proofErr w:type="gramEnd"/>
    </w:p>
    <w:p w14:paraId="7F58319A" w14:textId="77777777" w:rsidR="00264ECE" w:rsidRPr="00264ECE" w:rsidRDefault="00264ECE" w:rsidP="00264ECE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44"/>
          <w:szCs w:val="44"/>
        </w:rPr>
      </w:pPr>
      <w:r w:rsidRPr="00264ECE">
        <w:rPr>
          <w:rFonts w:cstheme="minorHAnsi"/>
          <w:kern w:val="0"/>
          <w:sz w:val="44"/>
          <w:szCs w:val="44"/>
        </w:rPr>
        <w:t>positions for both the Discrete I/O and Word I/O values.</w:t>
      </w:r>
    </w:p>
    <w:p w14:paraId="7573ED6F" w14:textId="77777777" w:rsidR="00264ECE" w:rsidRPr="00264ECE" w:rsidRDefault="00264ECE" w:rsidP="00264ECE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44"/>
          <w:szCs w:val="44"/>
        </w:rPr>
      </w:pPr>
      <w:r w:rsidRPr="00264ECE">
        <w:rPr>
          <w:rFonts w:cstheme="minorHAnsi"/>
          <w:kern w:val="0"/>
          <w:sz w:val="44"/>
          <w:szCs w:val="44"/>
        </w:rPr>
        <w:t xml:space="preserve">In the example, a value of “2001” is designated as the I/O Address. This equates to the following I/O </w:t>
      </w:r>
      <w:proofErr w:type="gramStart"/>
      <w:r w:rsidRPr="00264ECE">
        <w:rPr>
          <w:rFonts w:cstheme="minorHAnsi"/>
          <w:kern w:val="0"/>
          <w:sz w:val="44"/>
          <w:szCs w:val="44"/>
        </w:rPr>
        <w:t>mapping</w:t>
      </w:r>
      <w:proofErr w:type="gramEnd"/>
    </w:p>
    <w:p w14:paraId="7B68AB57" w14:textId="77777777" w:rsidR="00264ECE" w:rsidRPr="00264ECE" w:rsidRDefault="00264ECE" w:rsidP="00264ECE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44"/>
          <w:szCs w:val="44"/>
        </w:rPr>
      </w:pPr>
      <w:r w:rsidRPr="00264ECE">
        <w:rPr>
          <w:rFonts w:cstheme="minorHAnsi"/>
          <w:kern w:val="0"/>
          <w:sz w:val="44"/>
          <w:szCs w:val="44"/>
        </w:rPr>
        <w:t>for ACP1 data within the PLC:</w:t>
      </w:r>
    </w:p>
    <w:p w14:paraId="798217B9" w14:textId="77777777" w:rsidR="00264ECE" w:rsidRPr="00264ECE" w:rsidRDefault="00264ECE" w:rsidP="00264ECE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44"/>
          <w:szCs w:val="44"/>
        </w:rPr>
      </w:pPr>
      <w:r w:rsidRPr="00264ECE">
        <w:rPr>
          <w:rFonts w:cstheme="minorHAnsi"/>
          <w:kern w:val="0"/>
          <w:sz w:val="44"/>
          <w:szCs w:val="44"/>
        </w:rPr>
        <w:t>• 32 discrete inputs mapped to X2001-X2032</w:t>
      </w:r>
    </w:p>
    <w:p w14:paraId="0ED4FC70" w14:textId="77777777" w:rsidR="00264ECE" w:rsidRPr="00264ECE" w:rsidRDefault="00264ECE" w:rsidP="00264ECE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44"/>
          <w:szCs w:val="44"/>
        </w:rPr>
      </w:pPr>
      <w:r w:rsidRPr="00264ECE">
        <w:rPr>
          <w:rFonts w:cstheme="minorHAnsi"/>
          <w:kern w:val="0"/>
          <w:sz w:val="44"/>
          <w:szCs w:val="44"/>
        </w:rPr>
        <w:t>• 32 discrete outputs mapped to Y2033-Y2064</w:t>
      </w:r>
    </w:p>
    <w:p w14:paraId="1BE4FB47" w14:textId="77777777" w:rsidR="00264ECE" w:rsidRPr="00264ECE" w:rsidRDefault="00264ECE" w:rsidP="00264ECE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  <w:sz w:val="44"/>
          <w:szCs w:val="44"/>
        </w:rPr>
      </w:pPr>
      <w:r w:rsidRPr="00264ECE">
        <w:rPr>
          <w:rFonts w:cstheme="minorHAnsi"/>
          <w:kern w:val="0"/>
          <w:sz w:val="44"/>
          <w:szCs w:val="44"/>
        </w:rPr>
        <w:t xml:space="preserve">• </w:t>
      </w:r>
      <w:proofErr w:type="gramStart"/>
      <w:r w:rsidRPr="00264ECE">
        <w:rPr>
          <w:rFonts w:cstheme="minorHAnsi"/>
          <w:kern w:val="0"/>
          <w:sz w:val="44"/>
          <w:szCs w:val="44"/>
        </w:rPr>
        <w:t>32 word</w:t>
      </w:r>
      <w:proofErr w:type="gramEnd"/>
      <w:r w:rsidRPr="00264ECE">
        <w:rPr>
          <w:rFonts w:cstheme="minorHAnsi"/>
          <w:kern w:val="0"/>
          <w:sz w:val="44"/>
          <w:szCs w:val="44"/>
        </w:rPr>
        <w:t xml:space="preserve"> inputs mapped to WX2065-WX2096</w:t>
      </w:r>
    </w:p>
    <w:p w14:paraId="27564BEB" w14:textId="3A889B2D" w:rsidR="00264ECE" w:rsidRPr="00264ECE" w:rsidRDefault="00264ECE" w:rsidP="00264ECE">
      <w:pPr>
        <w:rPr>
          <w:rFonts w:cstheme="minorHAnsi"/>
          <w:sz w:val="44"/>
          <w:szCs w:val="44"/>
        </w:rPr>
      </w:pPr>
      <w:r w:rsidRPr="00264ECE">
        <w:rPr>
          <w:rFonts w:cstheme="minorHAnsi"/>
          <w:kern w:val="0"/>
          <w:sz w:val="44"/>
          <w:szCs w:val="44"/>
        </w:rPr>
        <w:t xml:space="preserve">• </w:t>
      </w:r>
      <w:proofErr w:type="gramStart"/>
      <w:r w:rsidRPr="00264ECE">
        <w:rPr>
          <w:rFonts w:cstheme="minorHAnsi"/>
          <w:kern w:val="0"/>
          <w:sz w:val="44"/>
          <w:szCs w:val="44"/>
        </w:rPr>
        <w:t>32 word</w:t>
      </w:r>
      <w:proofErr w:type="gramEnd"/>
      <w:r w:rsidRPr="00264ECE">
        <w:rPr>
          <w:rFonts w:cstheme="minorHAnsi"/>
          <w:kern w:val="0"/>
          <w:sz w:val="44"/>
          <w:szCs w:val="44"/>
        </w:rPr>
        <w:t xml:space="preserve"> outputs mapped to WY2097-WY2124</w:t>
      </w:r>
    </w:p>
    <w:sectPr w:rsidR="00264ECE" w:rsidRPr="00264ECE" w:rsidSect="00264ECE">
      <w:pgSz w:w="24480" w:h="15840" w:orient="landscape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CE"/>
    <w:rsid w:val="00264ECE"/>
    <w:rsid w:val="00483798"/>
    <w:rsid w:val="00C0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1C254"/>
  <w15:chartTrackingRefBased/>
  <w15:docId w15:val="{CC16D458-63ED-4A0F-AC79-2A3B375CE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McCormick</dc:creator>
  <cp:keywords/>
  <dc:description/>
  <cp:lastModifiedBy>Tom McCormick</cp:lastModifiedBy>
  <cp:revision>1</cp:revision>
  <dcterms:created xsi:type="dcterms:W3CDTF">2023-08-30T12:22:00Z</dcterms:created>
  <dcterms:modified xsi:type="dcterms:W3CDTF">2023-08-30T12:25:00Z</dcterms:modified>
</cp:coreProperties>
</file>